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trike w:val="0"/>
          <w:dstrike w:val="0"/>
          <w:color w:val="auto"/>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开发未确定使用权的国有荒山、荒地、荒滩从事生产审查（省级权限）</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【000115132001】</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开发未确定使用权的国有荒山、荒地、荒滩从事生产审查</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00011513200Y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开发未确定使用权的国有荒山、荒地、荒滩从事生产审查（省级权限）【000115132001】</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开发未确定使用权的国有荒山、荒地、荒滩从事生产审查(00011513200101)</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《中华人民共和国土地管理法》第四十一条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（1）《中华人民共和国土地管理法》第三十九条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（2）《中华人民共和国土地管理法》第四十条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（3）《中华人民共和国土地管理法实施条例》第九条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（4）地方关于开发未确定使用权的国有荒山、荒地、荒滩从事生产审查的相关规定。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（1）《中华人民共和国土地管理法》第六十七条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（2）《中华人民共和国土地管理法》第六十八条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（3）《中华人民共和国土地管理法》第六十九条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（4）《中华人民共和国土地管理法》第七十条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（5）《中华人民共和国土地管理法》第七十五条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（6）《中华人民共和国土地管理法》第七十七条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（7）《中华人民共和国土地管理法实施条例》第五十七条</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省级政府（由自然资源部门承办）</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省级</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省级/直属</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土地开垦区内开发未确定使用权的国有土地从事生产审查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部分要素全国统一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（1）开垦荒山、荒地、荒滩等未利用土地的，应当符合生态环境保护相关规定；涉及湖泊、江河滩地的，还应满足防洪安全要求。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（2）按照地方关于开发未确定使用权的国有荒山、荒地、荒滩从事生产审查的相关规定准予行政许可。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地方关于开发未确定使用权的国有荒山、荒地、荒滩从事生产审查的相关规定。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（1）开展“双随机、一公开”监督、重点监督；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（2）加强行政执法，发现违法违规行为，依法严肃查处；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（3）自觉接受社会监督，及时向社会公开许可信息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（1）开垦荒山、荒地、荒滩等未利用土地的生态评估报告和生态保护方案。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（2）以从事林业生产为目的的开发活动，需提交从事造林绿化基本情况的说明。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（3）按照地方关于开发未确定使用权的国有荒山、荒地、荒滩从事生产审查的相关规定提交的其他申请材料。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地方关于开发未确定使用权的国有荒山、荒地、荒滩从事生产审查的相关规定。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（1）按照地方关于开发未确定使用权的国有荒山、荒地、荒滩从事生产审查的相关规定办理。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（2）许可机关在作出行政许可决定前应当征求同级林草主管部门意见。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地方关于开发未确定使用权的国有荒山、荒地、荒滩从事生产审查的相关规定。</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暂由地方规定有无行政许可证件的有效期限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eastAsia" w:ascii="仿宋_GB2312" w:hAnsi="仿宋_GB2312" w:eastAsia="仿宋_GB2312" w:cs="仿宋_GB2312"/>
          <w:b w:val="0"/>
          <w:bCs w:val="0"/>
          <w:strike w:val="0"/>
          <w:dstrike w:val="0"/>
          <w:color w:val="auto"/>
          <w:sz w:val="32"/>
          <w:szCs w:val="32"/>
          <w:lang w:val="en-US" w:eastAsia="zh-CN"/>
        </w:rPr>
        <w:t>地方有关规定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暂由各地区自行规定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暂由各地区自行规定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省级自然资源主管部门会同林草主管部门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许可决定应抄送同级林草主管部门。</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BB035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liq</cp:lastModifiedBy>
  <dcterms:modified xsi:type="dcterms:W3CDTF">2023-03-17T09:28:45Z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