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val="0"/>
          <w:bCs w:val="0"/>
          <w:strike w:val="0"/>
          <w:dstrike w:val="0"/>
          <w:color w:val="auto"/>
          <w:sz w:val="44"/>
          <w:szCs w:val="44"/>
          <w:lang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val="0"/>
          <w:bCs w:val="0"/>
          <w:strike w:val="0"/>
          <w:dstrike w:val="0"/>
          <w:color w:val="auto"/>
          <w:sz w:val="44"/>
          <w:szCs w:val="44"/>
          <w:lang w:eastAsia="zh-CN"/>
        </w:rPr>
      </w:pPr>
      <w:r>
        <w:rPr>
          <w:rFonts w:hint="eastAsia" w:ascii="方正小标宋_GBK" w:hAnsi="方正小标宋_GBK" w:eastAsia="方正小标宋_GBK" w:cs="方正小标宋_GBK"/>
          <w:b w:val="0"/>
          <w:bCs w:val="0"/>
          <w:strike w:val="0"/>
          <w:dstrike w:val="0"/>
          <w:color w:val="auto"/>
          <w:sz w:val="44"/>
          <w:szCs w:val="44"/>
          <w:lang w:eastAsia="zh-CN"/>
        </w:rPr>
        <w:t>开发未确定使用权的国有荒山、荒地、荒滩从事生产审查（县级权限）</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【000115132003】</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w:t>
      </w:r>
      <w:r>
        <w:rPr>
          <w:rFonts w:hint="eastAsia" w:ascii="仿宋_GB2312" w:hAnsi="仿宋_GB2312" w:eastAsia="仿宋_GB2312" w:cs="仿宋_GB2312"/>
          <w:b/>
          <w:bCs/>
          <w:strike w:val="0"/>
          <w:dstrike w:val="0"/>
          <w:color w:val="auto"/>
          <w:sz w:val="32"/>
          <w:szCs w:val="32"/>
          <w:lang w:val="en-US"/>
        </w:rPr>
        <w:t>行政许可事项名称</w:t>
      </w:r>
      <w:r>
        <w:rPr>
          <w:rFonts w:hint="eastAsia" w:ascii="仿宋_GB2312" w:hAnsi="仿宋_GB2312" w:eastAsia="仿宋_GB2312" w:cs="仿宋_GB2312"/>
          <w:b/>
          <w:bCs/>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开发未确定使用权的国有荒山、荒地、荒滩从事生产审查</w:t>
      </w:r>
      <w:r>
        <w:rPr>
          <w:rFonts w:hint="eastAsia" w:ascii="仿宋_GB2312" w:hAnsi="仿宋_GB2312" w:eastAsia="仿宋_GB2312" w:cs="仿宋_GB2312"/>
          <w:strike w:val="0"/>
          <w:dstrike w:val="0"/>
          <w:sz w:val="32"/>
          <w:szCs w:val="32"/>
          <w:lang w:val="en-US" w:eastAsia="zh-CN"/>
        </w:rPr>
        <w:t>【</w:t>
      </w:r>
      <w:r>
        <w:rPr>
          <w:rFonts w:hint="eastAsia" w:ascii="仿宋_GB2312" w:hAnsi="仿宋_GB2312" w:eastAsia="仿宋_GB2312" w:cs="仿宋_GB2312"/>
          <w:strike w:val="0"/>
          <w:dstrike w:val="0"/>
          <w:sz w:val="32"/>
          <w:szCs w:val="32"/>
          <w:lang w:val="en-US"/>
        </w:rPr>
        <w:t>00011513200Y</w:t>
      </w:r>
      <w:r>
        <w:rPr>
          <w:rFonts w:hint="eastAsia" w:ascii="仿宋_GB2312" w:hAnsi="仿宋_GB2312" w:eastAsia="仿宋_GB2312" w:cs="仿宋_GB2312"/>
          <w:strike w:val="0"/>
          <w:dstrike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开发未确定使用权的国有荒山、荒地、荒滩从事生产审查（县级权限）【000115132003】</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开发未确定使用权的国有荒山、荒地、荒滩从事生产审查(00011513200301)(审核通过)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《中华人民共和国土地管理法》第四十一条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（1）《中华人民共和国土地管理法》第三十九条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（2）《中华人民共和国土地管理法》第四十条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（3）《中华人民共和国土地管理法实施条例》第九条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（4）地方关于开发未确定使用权的国有荒山、荒地、荒滩从事生产审查的相关规定。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（1）《中华人民共和国土地管理法》第六十七条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（2）《中华人民共和国土地管理法》第六十八条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（3）《中华人民共和国土地管理法》第六十九条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（4）《中华人民共和国土地管理法》第七十条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（5）《中华人民共和国土地管理法》第七十五条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（6）《中华人民共和国土地管理法》第七十七条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（7）《中华人民共和国土地管理法实施条例》第五十七条</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7.实施机关：</w:t>
      </w:r>
      <w:r>
        <w:rPr>
          <w:rFonts w:hint="eastAsia" w:ascii="仿宋_GB2312" w:hAnsi="仿宋_GB2312" w:eastAsia="仿宋_GB2312" w:cs="仿宋_GB2312"/>
          <w:b w:val="0"/>
          <w:bCs w:val="0"/>
          <w:strike w:val="0"/>
          <w:dstrike w:val="0"/>
          <w:color w:val="auto"/>
          <w:sz w:val="32"/>
          <w:szCs w:val="32"/>
          <w:lang w:val="en-US" w:eastAsia="zh-CN"/>
        </w:rPr>
        <w:t>县级政府（由自然资源部门承办）</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8.审批层级：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9.行使层级：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10.是否由审批机关受理：</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11.受理层级：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12.是否存在初审环节：</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highlight w:val="yellow"/>
          <w:lang w:val="en-US"/>
        </w:rPr>
      </w:pPr>
      <w:r>
        <w:rPr>
          <w:rFonts w:hint="eastAsia" w:ascii="仿宋_GB2312" w:hAnsi="仿宋_GB2312" w:eastAsia="仿宋_GB2312" w:cs="仿宋_GB2312"/>
          <w:b/>
          <w:bCs/>
          <w:strike w:val="0"/>
          <w:dstrike w:val="0"/>
          <w:color w:val="auto"/>
          <w:sz w:val="32"/>
          <w:szCs w:val="32"/>
          <w:highlight w:val="none"/>
          <w:lang w:val="en-US" w:eastAsia="zh-CN"/>
        </w:rPr>
        <w:t>13.初审层级：</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14.对应政务服务事项国家级基本目录名称：</w:t>
      </w:r>
      <w:r>
        <w:rPr>
          <w:rFonts w:hint="eastAsia" w:ascii="仿宋_GB2312" w:hAnsi="仿宋_GB2312" w:eastAsia="仿宋_GB2312" w:cs="仿宋_GB2312"/>
          <w:b w:val="0"/>
          <w:bCs w:val="0"/>
          <w:strike w:val="0"/>
          <w:dstrike w:val="0"/>
          <w:color w:val="auto"/>
          <w:sz w:val="32"/>
          <w:szCs w:val="32"/>
          <w:lang w:val="en-US" w:eastAsia="zh-CN"/>
        </w:rPr>
        <w:t>土地开垦区内开发未确定使用权的国有土地从事生产审查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15.要素统一情况：</w:t>
      </w:r>
      <w:r>
        <w:rPr>
          <w:rFonts w:hint="eastAsia" w:ascii="仿宋_GB2312" w:hAnsi="仿宋_GB2312" w:eastAsia="仿宋_GB2312" w:cs="仿宋_GB2312"/>
          <w:b w:val="0"/>
          <w:bCs w:val="0"/>
          <w:strike w:val="0"/>
          <w:dstrike w:val="0"/>
          <w:color w:val="auto"/>
          <w:sz w:val="32"/>
          <w:szCs w:val="32"/>
          <w:lang w:val="en-US" w:eastAsia="zh-CN"/>
        </w:rPr>
        <w:t>部分要素全国统一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（1）开垦荒山、荒地、荒滩等未利用土地的，应当符合生态环境保护相关规定；涉及湖泊、江河滩地的，还应满足防洪安全要求。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（2）按照地方关于开发未确定使用权的国有荒山、荒地、荒滩从事生产审查的相关规定准予行政许可。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2.规定行政许可条件的依据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地方关于开发未确定使用权的国有荒山、荒地、荒滩从事生产审查的相关规定。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sz w:val="32"/>
          <w:szCs w:val="32"/>
          <w:highlight w:val="none"/>
          <w:lang w:val="en-US" w:eastAsia="zh-CN"/>
        </w:rPr>
        <w:t>1.服务对象类型：</w:t>
      </w:r>
      <w:r>
        <w:rPr>
          <w:rFonts w:hint="eastAsia" w:ascii="仿宋_GB2312" w:hAnsi="仿宋_GB2312" w:eastAsia="仿宋_GB2312" w:cs="仿宋_GB2312"/>
          <w:b w:val="0"/>
          <w:bCs w:val="0"/>
          <w:strike w:val="0"/>
          <w:dstrike w:val="0"/>
          <w:color w:val="auto"/>
          <w:sz w:val="32"/>
          <w:szCs w:val="32"/>
          <w:lang w:val="en-US" w:eastAsia="zh-CN"/>
        </w:rPr>
        <w:t>自然人,企业法人,事业单位法人,社会组织法人,非法人企业,行政机关,其他组织</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2.是否为涉企许可事项：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3.涉企经营许可事项名称：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4.许可证件名称：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5.改革方式：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6.具体改革举措：</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b/>
          <w:bCs/>
          <w:strike w:val="0"/>
          <w:dstrike w:val="0"/>
          <w:sz w:val="32"/>
          <w:szCs w:val="32"/>
          <w:highlight w:val="none"/>
          <w:lang w:val="en-US" w:eastAsia="zh-CN"/>
        </w:rPr>
      </w:pPr>
      <w:r>
        <w:rPr>
          <w:rFonts w:hint="eastAsia" w:ascii="仿宋_GB2312" w:hAnsi="仿宋_GB2312" w:eastAsia="仿宋_GB2312" w:cs="仿宋_GB2312"/>
          <w:b/>
          <w:bCs/>
          <w:strike w:val="0"/>
          <w:dstrike w:val="0"/>
          <w:sz w:val="32"/>
          <w:szCs w:val="32"/>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（1）开展“双随机、一公开”监督、重点监督；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（2）加强行政执法，发现违法违规行为，依法严肃查处；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（3）自觉接受社会监督，及时向社会公开许可信息；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（4）加强信用监管，依法依规探索对失信主体开展失信惩戒。</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1.申请材料名称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（1）开垦荒山、荒地、荒滩等未利用土地的生态评估报告和生态保护方案。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（2）以从事林业生产为目的的开发活动，需提交从事造林绿化基本情况的说明。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（3）按照地方关于开发未确定使用权的国有荒山、荒地、荒滩从事生产审查的相关规定提交的其他申请材料。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2.规定申请材料的依据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地方关于开发未确定使用权的国有荒山、荒地、荒滩从事生产审查的相关规定。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六、中介服务</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1.有无法定中介服务事项：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2.中介服务事项名称：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3.设定中介服务事项的依据：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4.提供中介服务的机构：</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5.中介服务事项的收费性质：</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（1）按照地方关于开发未确定使用权的国有荒山、荒地、荒滩从事生产审查的相关规定办理。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（2）许可机关在作出行政许可决定前应当征求同级林草主管部门意见。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地方关于开发未确定使用权的国有荒山、荒地、荒滩从事生产审查的相关规定。</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3.是否需要现场勘验：</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4.是否需要组织听证：</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5.是否需要招标、拍卖、挂牌交易：</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6.是否需要检验、检测、检疫：</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7.是否需要鉴定：</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8.是否需要专家评审：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9.是否需要向社会公示：</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10.是否实行告知承诺办理：</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11.审批机关是否委托服务机构开展技术性服务：</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1.承诺受理时限：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strike w:val="0"/>
          <w:dstrike w:val="0"/>
          <w:sz w:val="32"/>
          <w:szCs w:val="32"/>
        </w:rPr>
      </w:pPr>
      <w:r>
        <w:rPr>
          <w:rFonts w:hint="eastAsia" w:ascii="仿宋_GB2312" w:hAnsi="仿宋_GB2312" w:eastAsia="仿宋_GB2312" w:cs="仿宋_GB2312"/>
          <w:b/>
          <w:bCs/>
          <w:strike w:val="0"/>
          <w:dstrike w:val="0"/>
          <w:color w:val="auto"/>
          <w:sz w:val="32"/>
          <w:szCs w:val="32"/>
          <w:lang w:val="en-US" w:eastAsia="zh-CN"/>
        </w:rPr>
        <w:t>2.法定审批时限：</w:t>
      </w:r>
      <w:r>
        <w:rPr>
          <w:rFonts w:hint="eastAsia" w:ascii="仿宋_GB2312" w:hAnsi="仿宋_GB2312" w:eastAsia="仿宋_GB2312" w:cs="仿宋_GB2312"/>
          <w:b w:val="0"/>
          <w:bCs w:val="0"/>
          <w:strike w:val="0"/>
          <w:dstrike w:val="0"/>
          <w:color w:val="auto"/>
          <w:sz w:val="32"/>
          <w:szCs w:val="32"/>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3.规定法定审批时限依据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4.承诺审批时限：</w:t>
      </w:r>
      <w:r>
        <w:rPr>
          <w:rFonts w:hint="eastAsia" w:ascii="仿宋_GB2312" w:hAnsi="仿宋_GB2312" w:eastAsia="仿宋_GB2312" w:cs="仿宋_GB2312"/>
          <w:b w:val="0"/>
          <w:bCs w:val="0"/>
          <w:strike w:val="0"/>
          <w:dstrike w:val="0"/>
          <w:color w:val="auto"/>
          <w:sz w:val="32"/>
          <w:szCs w:val="32"/>
          <w:lang w:val="en-US" w:eastAsia="zh-CN"/>
        </w:rPr>
        <w:t>20个工作日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依法进行听证、专家评审等另需时间不计算在该时限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九、收费</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1.办理行政许可是否收费：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FF000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2.收费项目的名称、收费项目的标准、设定收费项目的依据、规定收费标准的依据：</w:t>
      </w:r>
      <w:r>
        <w:rPr>
          <w:rFonts w:hint="eastAsia" w:ascii="仿宋_GB2312" w:hAnsi="仿宋_GB2312" w:eastAsia="仿宋_GB2312" w:cs="仿宋_GB2312"/>
          <w:sz w:val="32"/>
          <w:szCs w:val="32"/>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1.审批结果类型：</w:t>
      </w:r>
      <w:r>
        <w:rPr>
          <w:rFonts w:hint="eastAsia" w:ascii="仿宋_GB2312" w:hAnsi="仿宋_GB2312" w:eastAsia="仿宋_GB2312" w:cs="仿宋_GB2312"/>
          <w:b w:val="0"/>
          <w:bCs w:val="0"/>
          <w:strike w:val="0"/>
          <w:dstrike w:val="0"/>
          <w:color w:val="auto"/>
          <w:sz w:val="32"/>
          <w:szCs w:val="32"/>
          <w:lang w:val="en-US" w:eastAsia="zh-CN"/>
        </w:rPr>
        <w:t>批文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2.审批结果名称：</w:t>
      </w:r>
      <w:r>
        <w:rPr>
          <w:rFonts w:hint="eastAsia" w:ascii="仿宋_GB2312" w:hAnsi="仿宋_GB2312" w:eastAsia="仿宋_GB2312" w:cs="仿宋_GB2312"/>
          <w:b w:val="0"/>
          <w:bCs w:val="0"/>
          <w:strike w:val="0"/>
          <w:dstrike w:val="0"/>
          <w:color w:val="auto"/>
          <w:sz w:val="32"/>
          <w:szCs w:val="32"/>
          <w:lang w:val="en-US" w:eastAsia="zh-CN"/>
        </w:rPr>
        <w:t>批文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3.审批结果的有效期限：</w:t>
      </w:r>
      <w:r>
        <w:rPr>
          <w:rFonts w:hint="eastAsia" w:ascii="仿宋_GB2312" w:hAnsi="仿宋_GB2312" w:eastAsia="仿宋_GB2312" w:cs="仿宋_GB2312"/>
          <w:b w:val="0"/>
          <w:bCs w:val="0"/>
          <w:strike w:val="0"/>
          <w:dstrike w:val="0"/>
          <w:color w:val="auto"/>
          <w:sz w:val="32"/>
          <w:szCs w:val="32"/>
          <w:lang w:val="en-US" w:eastAsia="zh-CN"/>
        </w:rPr>
        <w:t>暂由地方规定有无行政许可证件的有效期限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4.规定审批结果有效期限的依据：</w:t>
      </w:r>
      <w:r>
        <w:rPr>
          <w:rFonts w:hint="eastAsia" w:ascii="仿宋_GB2312" w:hAnsi="仿宋_GB2312" w:eastAsia="仿宋_GB2312" w:cs="仿宋_GB2312"/>
          <w:b w:val="0"/>
          <w:bCs w:val="0"/>
          <w:strike w:val="0"/>
          <w:dstrike w:val="0"/>
          <w:color w:val="auto"/>
          <w:sz w:val="32"/>
          <w:szCs w:val="32"/>
          <w:lang w:val="en-US" w:eastAsia="zh-CN"/>
        </w:rPr>
        <w:t>地方有关规定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5.是否需要办理审批结果变更手续：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6.办理审批结果变更手续的要求：</w:t>
      </w:r>
      <w:r>
        <w:rPr>
          <w:rFonts w:hint="eastAsia" w:ascii="仿宋_GB2312" w:hAnsi="仿宋_GB2312" w:eastAsia="仿宋_GB2312" w:cs="仿宋_GB2312"/>
          <w:b w:val="0"/>
          <w:bCs w:val="0"/>
          <w:strike w:val="0"/>
          <w:dstrike w:val="0"/>
          <w:color w:val="auto"/>
          <w:sz w:val="32"/>
          <w:szCs w:val="32"/>
          <w:lang w:val="en-US" w:eastAsia="zh-CN"/>
        </w:rPr>
        <w:t>暂由各地区自行规定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7.是否需要办理审批结果延续手续：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8.办理审批结果延续手续的要求：</w:t>
      </w:r>
      <w:r>
        <w:rPr>
          <w:rFonts w:hint="eastAsia" w:ascii="仿宋_GB2312" w:hAnsi="仿宋_GB2312" w:eastAsia="仿宋_GB2312" w:cs="仿宋_GB2312"/>
          <w:b w:val="0"/>
          <w:bCs w:val="0"/>
          <w:strike w:val="0"/>
          <w:dstrike w:val="0"/>
          <w:color w:val="auto"/>
          <w:sz w:val="32"/>
          <w:szCs w:val="32"/>
          <w:lang w:val="en-US" w:eastAsia="zh-CN"/>
        </w:rPr>
        <w:t>暂由各地区自行规定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9.审批结果的有效地域范围：</w:t>
      </w:r>
      <w:r>
        <w:rPr>
          <w:rFonts w:hint="eastAsia" w:ascii="仿宋_GB2312" w:hAnsi="仿宋_GB2312" w:eastAsia="仿宋_GB2312" w:cs="仿宋_GB2312"/>
          <w:b w:val="0"/>
          <w:bCs w:val="0"/>
          <w:strike w:val="0"/>
          <w:dstrike w:val="0"/>
          <w:color w:val="auto"/>
          <w:sz w:val="32"/>
          <w:szCs w:val="32"/>
          <w:lang w:val="en-US" w:eastAsia="zh-CN"/>
        </w:rPr>
        <w:t>全国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《中华人民共和国行政许可法》第四十一条  法律、行政法规设定的行政许可，其适用范围没有地域限制的，申请人取得的行政许可在全国范围内有效。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1.有无行政许可数量限制：</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2.公布数量限制的方式：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3.公布数量限制的周期：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4.在数量限制条件下实施行政许可的方式：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5.规定在数量限制条件下实施行政许可方式的依据：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1.有无年检要求：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2.设定年检要求的依据：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3.年检周期：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4.年检是否要求报送材料：</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5.年检报送材料名称：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6.年检是否收费：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7.年检收费项目的名称、年检收费项目的标准、设定年检收费项目的依据、规定年检项目收费标准的依据</w:t>
      </w:r>
      <w:bookmarkStart w:id="0" w:name="_GoBack"/>
      <w:bookmarkEnd w:id="0"/>
      <w:r>
        <w:rPr>
          <w:rFonts w:hint="eastAsia" w:ascii="仿宋_GB2312" w:hAnsi="仿宋_GB2312" w:eastAsia="仿宋_GB2312" w:cs="仿宋_GB2312"/>
          <w:b/>
          <w:bCs/>
          <w:strike w:val="0"/>
          <w:dstrike w:val="0"/>
          <w:color w:val="auto"/>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8.通过年检的证明或者标志：</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1.有无年报要求：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2.年报报送材料名称：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3.设定年报要求的依据：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4.年报周期：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县级自然资源主管部门会同林草主管部门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许可决定应抄送同级林草主管部门。</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_GBK">
    <w:panose1 w:val="02000000000000000000"/>
    <w:charset w:val="86"/>
    <w:family w:val="auto"/>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FgAAAGRycy9QSwECFAAUAAAA&#10;CACHTuJAs0lY7tAAAAAFAQAADwAAAAAAAAABACAAAAA4AAAAZHJzL2Rvd25yZXYueG1sUEsBAhQA&#10;FAAAAAgAh07iQHZIUkvIAgAA7AUAAA4AAAAAAAAAAQAgAAAANQEAAGRycy9lMm9Eb2MueG1sUEsF&#10;BgAAAAAGAAYAWQEAAG8G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4A1947CF"/>
    <w:rsid w:val="FFFFCA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2018-07-11T15:11:00Z</dcterms:created>
  <dc:creator>d</dc:creator>
  <cp:lastModifiedBy>liq</cp:lastModifiedBy>
  <dcterms:modified xsi:type="dcterms:W3CDTF">2023-03-17T09:33:26Z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